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B962" w14:textId="77777777" w:rsidR="006F7044" w:rsidRPr="00C345F7" w:rsidRDefault="006F7044" w:rsidP="006F7044">
      <w:pPr>
        <w:rPr>
          <w:rFonts w:ascii="Georgia" w:eastAsia="Times New Roman" w:hAnsi="Georgia" w:cs="Times New Roman"/>
          <w:b/>
          <w:bCs/>
          <w:color w:val="0070C0"/>
          <w:sz w:val="32"/>
          <w:szCs w:val="32"/>
          <w:lang w:eastAsia="it-IT"/>
        </w:rPr>
      </w:pPr>
      <w:r w:rsidRPr="00C345F7">
        <w:rPr>
          <w:rFonts w:ascii="Georgia" w:eastAsia="Times New Roman" w:hAnsi="Georgia" w:cs="Times New Roman"/>
          <w:b/>
          <w:bCs/>
          <w:color w:val="0070C0"/>
          <w:sz w:val="32"/>
          <w:szCs w:val="32"/>
          <w:lang w:eastAsia="it-IT"/>
        </w:rPr>
        <w:t>6</w:t>
      </w:r>
    </w:p>
    <w:p w14:paraId="6A68A7F6" w14:textId="5C2CEFC8" w:rsidR="006F7044" w:rsidRPr="00D76467" w:rsidRDefault="006F7044" w:rsidP="006F7044">
      <w:pPr>
        <w:jc w:val="both"/>
        <w:rPr>
          <w:rFonts w:ascii="Georgia" w:eastAsia="Times New Roman" w:hAnsi="Georgia" w:cs="Times New Roman"/>
          <w:b/>
          <w:bCs/>
          <w:color w:val="0070C0"/>
          <w:sz w:val="32"/>
          <w:szCs w:val="32"/>
          <w:lang w:eastAsia="it-IT"/>
        </w:rPr>
      </w:pPr>
      <w:r w:rsidRPr="00D76467">
        <w:rPr>
          <w:rFonts w:ascii="Georgia" w:eastAsia="Times New Roman" w:hAnsi="Georgia" w:cs="Times New Roman"/>
          <w:b/>
          <w:bCs/>
          <w:color w:val="0070C0"/>
          <w:sz w:val="32"/>
          <w:szCs w:val="32"/>
          <w:lang w:eastAsia="it-IT"/>
        </w:rPr>
        <w:t>IL</w:t>
      </w:r>
      <w:r w:rsidRPr="00D76467">
        <w:rPr>
          <w:rFonts w:ascii="Georgia" w:eastAsia="Times New Roman" w:hAnsi="Georgia" w:cs="Times New Roman"/>
          <w:color w:val="212529"/>
          <w:sz w:val="32"/>
          <w:szCs w:val="32"/>
          <w:lang w:eastAsia="it-IT"/>
        </w:rPr>
        <w:t xml:space="preserve"> </w:t>
      </w:r>
      <w:r w:rsidRPr="00D76467">
        <w:rPr>
          <w:rFonts w:ascii="Georgia" w:eastAsia="Times New Roman" w:hAnsi="Georgia" w:cs="Times New Roman"/>
          <w:b/>
          <w:bCs/>
          <w:color w:val="0070C0"/>
          <w:sz w:val="32"/>
          <w:szCs w:val="32"/>
          <w:lang w:eastAsia="it-IT"/>
        </w:rPr>
        <w:t>CURRICOLO DI EDUCAZIONE CIVICA DEL LICEO VITTORINI NEL DOCUMENTO DI CLASSE 202</w:t>
      </w:r>
      <w:r w:rsidR="00A3212C">
        <w:rPr>
          <w:rFonts w:ascii="Georgia" w:eastAsia="Times New Roman" w:hAnsi="Georgia" w:cs="Times New Roman"/>
          <w:b/>
          <w:bCs/>
          <w:color w:val="0070C0"/>
          <w:sz w:val="32"/>
          <w:szCs w:val="32"/>
          <w:lang w:eastAsia="it-IT"/>
        </w:rPr>
        <w:t>2</w:t>
      </w:r>
      <w:r w:rsidRPr="00D76467">
        <w:rPr>
          <w:rFonts w:ascii="Georgia" w:eastAsia="Times New Roman" w:hAnsi="Georgia" w:cs="Times New Roman"/>
          <w:b/>
          <w:bCs/>
          <w:color w:val="0070C0"/>
          <w:sz w:val="32"/>
          <w:szCs w:val="32"/>
          <w:lang w:eastAsia="it-IT"/>
        </w:rPr>
        <w:t>/2</w:t>
      </w:r>
      <w:r w:rsidR="00A3212C">
        <w:rPr>
          <w:rFonts w:ascii="Georgia" w:eastAsia="Times New Roman" w:hAnsi="Georgia" w:cs="Times New Roman"/>
          <w:b/>
          <w:bCs/>
          <w:color w:val="0070C0"/>
          <w:sz w:val="32"/>
          <w:szCs w:val="32"/>
          <w:lang w:eastAsia="it-IT"/>
        </w:rPr>
        <w:t>3</w:t>
      </w:r>
    </w:p>
    <w:p w14:paraId="4C006D85" w14:textId="77777777" w:rsidR="006F7044" w:rsidRDefault="006F7044" w:rsidP="006F7044">
      <w:pP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47766966" w14:textId="77777777" w:rsidR="006F7044" w:rsidRPr="00D76467" w:rsidRDefault="006F7044" w:rsidP="006F7044">
      <w:pPr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</w:pPr>
      <w:r w:rsidRPr="00D76467"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  <w:t>PREMESSA COMUNE</w:t>
      </w:r>
      <w:r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  <w:t xml:space="preserve"> A TUTTE LE CLASSI</w:t>
      </w:r>
    </w:p>
    <w:p w14:paraId="24B63EFB" w14:textId="77777777" w:rsidR="006F7044" w:rsidRPr="00C01D2B" w:rsidRDefault="006F7044" w:rsidP="006F7044">
      <w:pPr>
        <w:jc w:val="both"/>
        <w:rPr>
          <w:rFonts w:ascii="Georgia" w:eastAsia="Times New Roman" w:hAnsi="Georgia" w:cs="Times New Roman"/>
          <w:sz w:val="26"/>
          <w:szCs w:val="26"/>
          <w:lang w:eastAsia="it-IT"/>
        </w:rPr>
      </w:pPr>
      <w:r w:rsidRPr="00A315C2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Le Istituzioni scolastiche sono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state</w:t>
      </w:r>
      <w:r w:rsidRPr="00A315C2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chiamate,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ai sensi della </w:t>
      </w:r>
      <w:r w:rsidRPr="00A315C2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legge 20 agosto 2019, n. 92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r w:rsidRPr="00A315C2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ad aggiornare i curricoli di istituto e l’attività di programmazione didattica, al fine di sviluppare “la conoscenza e la comprensione delle strutture e dei profili sociali, economici, giuridici, civici e ambientali della società” (articolo 2, comma 1 della Legge), nonché ad individuare nella conoscenza e nell’attuazione consapevole dei regolamenti di Istituto, dello Statuto delle studentesse e degli studenti, nel Patto educativo di corresponsabilità, un terreno di esercizio concreto per sviluppare “la capacità di agire da cittadini responsabili e di partecipare pienamente e consapevolmente alla vita civica, culturale e sociale della comunità” (articolo 1, comma 1 della Legge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). </w:t>
      </w:r>
      <w:r w:rsidRPr="004F0E8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La Legge dispone che l'insegnamento trasversale dell'Educazione civica sia oggetto delle valutazioni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r w:rsidRPr="004F0E8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periodiche e finali previste dal D. dal DPR 22 giugno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r w:rsidRPr="004F0E8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2009, n. 122 per il secondo ciclo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e ai sensi delle disposizioni normative vigenti il Collegio Docenti ha previsto </w:t>
      </w:r>
      <w:r w:rsidRPr="00C01D2B">
        <w:rPr>
          <w:rFonts w:ascii="Georgia" w:eastAsia="Times New Roman" w:hAnsi="Georgia" w:cs="Times New Roman"/>
          <w:sz w:val="26"/>
          <w:szCs w:val="26"/>
          <w:lang w:eastAsia="it-IT"/>
        </w:rPr>
        <w:t>la possibilità di un’organizzazione modulare della disciplina trasversale, con valutazione sintetica nel primo e nel secondo periodo valutativo.</w:t>
      </w:r>
    </w:p>
    <w:p w14:paraId="7E9ADD40" w14:textId="77777777" w:rsidR="006F7044" w:rsidRDefault="006F7044" w:rsidP="006F7044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4A322D">
        <w:rPr>
          <w:rFonts w:ascii="Georgia" w:eastAsia="Times New Roman" w:hAnsi="Georgia" w:cs="Times New Roman"/>
          <w:sz w:val="26"/>
          <w:szCs w:val="26"/>
          <w:lang w:eastAsia="it-IT"/>
        </w:rPr>
        <w:t xml:space="preserve">La valutazione è orale ed è coerente con le competenze, abilità e conoscenze indicate nella programmazione per l’insegnamento dell’educazione civica e riassunte nel “curricolo di istituto di Educazione Civica”  per la verifica delle quali i docenti si avvalgono di strumenti condivisi, approvati dal Collegio Docenti  e coerenti con la valutazione delle altre discipline curricolari (come prove scritte, orali o pratiche, la fruizione di test su piattaforma </w:t>
      </w:r>
      <w:proofErr w:type="spellStart"/>
      <w:r w:rsidRPr="004A322D">
        <w:rPr>
          <w:rFonts w:ascii="Georgia" w:eastAsia="Times New Roman" w:hAnsi="Georgia" w:cs="Times New Roman"/>
          <w:sz w:val="26"/>
          <w:szCs w:val="26"/>
          <w:lang w:eastAsia="it-IT"/>
        </w:rPr>
        <w:t>Moodle</w:t>
      </w:r>
      <w:proofErr w:type="spellEnd"/>
      <w:r w:rsidRPr="004A322D">
        <w:rPr>
          <w:rFonts w:ascii="Georgia" w:eastAsia="Times New Roman" w:hAnsi="Georgia" w:cs="Times New Roman"/>
          <w:sz w:val="26"/>
          <w:szCs w:val="26"/>
          <w:lang w:eastAsia="it-IT"/>
        </w:rPr>
        <w:t xml:space="preserve"> </w:t>
      </w:r>
      <w:proofErr w:type="spellStart"/>
      <w:r w:rsidRPr="004A322D">
        <w:rPr>
          <w:rFonts w:ascii="Georgia" w:eastAsia="Times New Roman" w:hAnsi="Georgia" w:cs="Times New Roman"/>
          <w:sz w:val="26"/>
          <w:szCs w:val="26"/>
          <w:lang w:eastAsia="it-IT"/>
        </w:rPr>
        <w:t>Elionet</w:t>
      </w:r>
      <w:proofErr w:type="spellEnd"/>
      <w:r w:rsidRPr="004A322D">
        <w:rPr>
          <w:rFonts w:ascii="Georgia" w:eastAsia="Times New Roman" w:hAnsi="Georgia" w:cs="Times New Roman"/>
          <w:sz w:val="26"/>
          <w:szCs w:val="26"/>
          <w:lang w:eastAsia="it-IT"/>
        </w:rPr>
        <w:t xml:space="preserve">, relazioni, lavori di gruppo, griglie di osservazione e rubriche valutative). Tali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strumenti, applicati ai percorsi interdisciplinari, sono finalizzati a rendere </w:t>
      </w:r>
      <w:r w:rsidRPr="00316CD2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conto del conseguimento da parte degli alunni delle conoscenze e abilità e del progressivo sviluppo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r w:rsidRPr="00316CD2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delle competenze previste nella sezione del curricolo dedicata all’educazione civica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ma anche a coinvolgere gli stessi studenti, in prima persona, in merito all’interiorizzazione delle tematiche affrontate. I</w:t>
      </w:r>
      <w:r w:rsidRPr="0075547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l voto di educazione civica concorre all’ammissione alla classe successiva e/o all’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E</w:t>
      </w:r>
      <w:r w:rsidRPr="0075547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same di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r w:rsidRPr="0075547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Stato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r w:rsidRPr="0075547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e, per le classi terze, quarte e quinte all'attribuzione del credito scolastico.</w:t>
      </w:r>
    </w:p>
    <w:p w14:paraId="3DE259C6" w14:textId="77777777" w:rsidR="0089322C" w:rsidRDefault="0089322C"/>
    <w:sectPr w:rsidR="00893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44"/>
    <w:rsid w:val="006F7044"/>
    <w:rsid w:val="0089322C"/>
    <w:rsid w:val="00A3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7CC4"/>
  <w15:chartTrackingRefBased/>
  <w15:docId w15:val="{760A48E3-B139-4141-A15C-EFB8A4C9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arioli</dc:creator>
  <cp:keywords/>
  <dc:description/>
  <cp:lastModifiedBy>Albalisa Azzariti</cp:lastModifiedBy>
  <cp:revision>2</cp:revision>
  <dcterms:created xsi:type="dcterms:W3CDTF">2023-01-28T17:37:00Z</dcterms:created>
  <dcterms:modified xsi:type="dcterms:W3CDTF">2023-01-28T17:37:00Z</dcterms:modified>
</cp:coreProperties>
</file>