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75A1" w14:textId="77777777" w:rsidR="00052322" w:rsidRDefault="00052322" w:rsidP="00052322">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3</w:t>
      </w:r>
    </w:p>
    <w:p w14:paraId="4C4D9687" w14:textId="77777777" w:rsidR="00052322" w:rsidRPr="00BD3532" w:rsidRDefault="00052322" w:rsidP="00052322">
      <w:pPr>
        <w:jc w:val="both"/>
        <w:rPr>
          <w:rFonts w:ascii="Georgia" w:eastAsia="Times New Roman" w:hAnsi="Georgia" w:cs="Times New Roman"/>
          <w:b/>
          <w:bCs/>
          <w:color w:val="0070C0"/>
          <w:sz w:val="28"/>
          <w:szCs w:val="28"/>
          <w:lang w:eastAsia="it-IT"/>
        </w:rPr>
      </w:pPr>
      <w:bookmarkStart w:id="0" w:name="_Hlk63604915"/>
      <w:r w:rsidRPr="00BD3532">
        <w:rPr>
          <w:rFonts w:ascii="Georgia" w:eastAsia="Times New Roman" w:hAnsi="Georgia" w:cs="Times New Roman"/>
          <w:b/>
          <w:bCs/>
          <w:color w:val="0070C0"/>
          <w:sz w:val="28"/>
          <w:szCs w:val="28"/>
          <w:lang w:eastAsia="it-IT"/>
        </w:rPr>
        <w:t>ATTUAZIONE DELLE LINEE GUIDA</w:t>
      </w:r>
    </w:p>
    <w:bookmarkEnd w:id="0"/>
    <w:p w14:paraId="5794883E" w14:textId="77777777" w:rsidR="00052322" w:rsidRDefault="00052322" w:rsidP="00052322">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w:t>
      </w:r>
      <w:proofErr w:type="gramStart"/>
      <w:r>
        <w:rPr>
          <w:rFonts w:ascii="Georgia" w:eastAsia="Times New Roman" w:hAnsi="Georgia" w:cs="Times New Roman"/>
          <w:color w:val="212529"/>
          <w:sz w:val="26"/>
          <w:szCs w:val="26"/>
          <w:lang w:eastAsia="it-IT"/>
        </w:rPr>
        <w:t>Decreto Legge</w:t>
      </w:r>
      <w:proofErr w:type="gramEnd"/>
      <w:r>
        <w:rPr>
          <w:rFonts w:ascii="Georgia" w:eastAsia="Times New Roman" w:hAnsi="Georgia" w:cs="Times New Roman"/>
          <w:color w:val="212529"/>
          <w:sz w:val="26"/>
          <w:szCs w:val="26"/>
          <w:lang w:eastAsia="it-IT"/>
        </w:rPr>
        <w:t xml:space="preserve"> 20/2020 demanda a Linee Guida attuative del Ministero, le quali sono state pubblicate con </w:t>
      </w:r>
      <w:r w:rsidRPr="00D57113">
        <w:rPr>
          <w:rFonts w:ascii="Georgia" w:eastAsia="Times New Roman" w:hAnsi="Georgia" w:cs="Times New Roman"/>
          <w:color w:val="212529"/>
          <w:sz w:val="26"/>
          <w:szCs w:val="26"/>
          <w:lang w:eastAsia="it-IT"/>
        </w:rPr>
        <w:t>Decreto Ministeriale n.35 del 22 giugno 2020</w:t>
      </w:r>
      <w:r>
        <w:rPr>
          <w:rFonts w:ascii="Georgia" w:eastAsia="Times New Roman" w:hAnsi="Georgia" w:cs="Times New Roman"/>
          <w:color w:val="212529"/>
          <w:sz w:val="26"/>
          <w:szCs w:val="26"/>
          <w:lang w:eastAsia="it-IT"/>
        </w:rPr>
        <w:t>.</w:t>
      </w:r>
    </w:p>
    <w:p w14:paraId="783B8C22" w14:textId="77777777" w:rsidR="00052322" w:rsidRDefault="00052322" w:rsidP="00052322">
      <w:pPr>
        <w:jc w:val="both"/>
        <w:rPr>
          <w:rFonts w:ascii="Georgia" w:eastAsia="Times New Roman" w:hAnsi="Georgia" w:cs="Times New Roman"/>
          <w:color w:val="212529"/>
          <w:sz w:val="26"/>
          <w:szCs w:val="26"/>
          <w:lang w:eastAsia="it-IT"/>
        </w:rPr>
      </w:pPr>
      <w:proofErr w:type="gramStart"/>
      <w:r>
        <w:rPr>
          <w:rFonts w:ascii="Georgia" w:eastAsia="Times New Roman" w:hAnsi="Georgia" w:cs="Times New Roman"/>
          <w:color w:val="212529"/>
          <w:sz w:val="26"/>
          <w:szCs w:val="26"/>
          <w:lang w:eastAsia="it-IT"/>
        </w:rPr>
        <w:t>E’</w:t>
      </w:r>
      <w:proofErr w:type="gramEnd"/>
      <w:r>
        <w:rPr>
          <w:rFonts w:ascii="Georgia" w:eastAsia="Times New Roman" w:hAnsi="Georgia" w:cs="Times New Roman"/>
          <w:color w:val="212529"/>
          <w:sz w:val="26"/>
          <w:szCs w:val="26"/>
          <w:lang w:eastAsia="it-IT"/>
        </w:rPr>
        <w:t xml:space="preserve"> di tutta evidenza che le tematiche che possono afferire al grande ambito dell’Educazione Civica sono moltissime ed infatti il Decreto 20/2020 ne elenca alcune. Le Linee Guida, nell’allegato A, riassumono queste tematiche in tre ambiti, che sono definiti “nodi concettuali”.</w:t>
      </w:r>
    </w:p>
    <w:p w14:paraId="1F7BFDD9" w14:textId="77777777" w:rsidR="00052322" w:rsidRPr="00D57113" w:rsidRDefault="00052322" w:rsidP="00052322">
      <w:pPr>
        <w:jc w:val="both"/>
        <w:rPr>
          <w:rFonts w:ascii="Georgia" w:eastAsia="Times New Roman" w:hAnsi="Georgia" w:cs="Times New Roman"/>
          <w:color w:val="212529"/>
          <w:sz w:val="26"/>
          <w:szCs w:val="26"/>
          <w:lang w:eastAsia="it-IT"/>
        </w:rPr>
      </w:pPr>
      <w:r w:rsidRPr="00D57113">
        <w:rPr>
          <w:rFonts w:ascii="Georgia" w:eastAsia="Times New Roman" w:hAnsi="Georgia" w:cs="Times New Roman"/>
          <w:color w:val="212529"/>
          <w:sz w:val="26"/>
          <w:szCs w:val="26"/>
          <w:lang w:eastAsia="it-IT"/>
        </w:rPr>
        <w:t>Nel rispetto dell’autonomia organizzativa e didattica di ciascuna istituzione scolastica, le Linee guida si</w:t>
      </w:r>
      <w:r>
        <w:rPr>
          <w:rFonts w:ascii="Georgia" w:eastAsia="Times New Roman" w:hAnsi="Georgia" w:cs="Times New Roman"/>
          <w:color w:val="212529"/>
          <w:sz w:val="26"/>
          <w:szCs w:val="26"/>
          <w:lang w:eastAsia="it-IT"/>
        </w:rPr>
        <w:t xml:space="preserve"> </w:t>
      </w:r>
      <w:r w:rsidRPr="00D57113">
        <w:rPr>
          <w:rFonts w:ascii="Georgia" w:eastAsia="Times New Roman" w:hAnsi="Georgia" w:cs="Times New Roman"/>
          <w:color w:val="212529"/>
          <w:sz w:val="26"/>
          <w:szCs w:val="26"/>
          <w:lang w:eastAsia="it-IT"/>
        </w:rPr>
        <w:t>sviluppano intorno a tre nuclei concettuali che costituiscono i pilastri della Legge, a cui possono essere</w:t>
      </w:r>
      <w:r>
        <w:rPr>
          <w:rFonts w:ascii="Georgia" w:eastAsia="Times New Roman" w:hAnsi="Georgia" w:cs="Times New Roman"/>
          <w:color w:val="212529"/>
          <w:sz w:val="26"/>
          <w:szCs w:val="26"/>
          <w:lang w:eastAsia="it-IT"/>
        </w:rPr>
        <w:t xml:space="preserve"> </w:t>
      </w:r>
      <w:r w:rsidRPr="00D57113">
        <w:rPr>
          <w:rFonts w:ascii="Georgia" w:eastAsia="Times New Roman" w:hAnsi="Georgia" w:cs="Times New Roman"/>
          <w:color w:val="212529"/>
          <w:sz w:val="26"/>
          <w:szCs w:val="26"/>
          <w:lang w:eastAsia="it-IT"/>
        </w:rPr>
        <w:t>ricondotte tutte le diverse tematiche dalla stessa individuate:</w:t>
      </w:r>
    </w:p>
    <w:p w14:paraId="72C62D4B" w14:textId="77777777" w:rsidR="00052322" w:rsidRPr="005A39C0" w:rsidRDefault="00052322" w:rsidP="00052322">
      <w:pPr>
        <w:pStyle w:val="Paragrafoelenco"/>
        <w:numPr>
          <w:ilvl w:val="0"/>
          <w:numId w:val="1"/>
        </w:numPr>
        <w:jc w:val="both"/>
        <w:rPr>
          <w:rFonts w:ascii="Georgia" w:eastAsia="Times New Roman" w:hAnsi="Georgia" w:cs="Times New Roman"/>
          <w:b/>
          <w:bCs/>
          <w:i/>
          <w:iCs/>
          <w:color w:val="212529"/>
          <w:lang w:eastAsia="it-IT"/>
        </w:rPr>
      </w:pPr>
      <w:r w:rsidRPr="005A39C0">
        <w:rPr>
          <w:rFonts w:ascii="Georgia" w:eastAsia="Times New Roman" w:hAnsi="Georgia" w:cs="Times New Roman"/>
          <w:b/>
          <w:bCs/>
          <w:i/>
          <w:iCs/>
          <w:color w:val="212529"/>
          <w:lang w:eastAsia="it-IT"/>
        </w:rPr>
        <w:t xml:space="preserve">COSTITUZIONE, diritto (nazionale e internazionale), legalità e solidarietà </w:t>
      </w:r>
    </w:p>
    <w:p w14:paraId="37C490AE"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w:t>
      </w:r>
    </w:p>
    <w:p w14:paraId="0AEF3590" w14:textId="77777777" w:rsidR="00052322" w:rsidRPr="005A39C0" w:rsidRDefault="00052322" w:rsidP="00052322">
      <w:pPr>
        <w:jc w:val="both"/>
        <w:rPr>
          <w:rFonts w:ascii="Georgia" w:eastAsia="Times New Roman" w:hAnsi="Georgia" w:cs="Times New Roman"/>
          <w:b/>
          <w:i/>
          <w:iCs/>
          <w:color w:val="212529"/>
          <w:lang w:eastAsia="it-IT"/>
        </w:rPr>
      </w:pPr>
      <w:r w:rsidRPr="005A39C0">
        <w:rPr>
          <w:rFonts w:ascii="Georgia" w:eastAsia="Times New Roman" w:hAnsi="Georgia" w:cs="Times New Roman"/>
          <w:b/>
          <w:i/>
          <w:iCs/>
          <w:color w:val="212529"/>
          <w:lang w:eastAsia="it-IT"/>
        </w:rPr>
        <w:t xml:space="preserve">2. SVILUPPO SOSTENIBILE, educazione ambientale, conoscenza e tutela del patrimonio e del territorio, </w:t>
      </w:r>
    </w:p>
    <w:p w14:paraId="15E67A54"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w:t>
      </w:r>
    </w:p>
    <w:p w14:paraId="45EFB804" w14:textId="77777777" w:rsidR="00052322" w:rsidRPr="005A39C0" w:rsidRDefault="00052322" w:rsidP="00052322">
      <w:pPr>
        <w:jc w:val="both"/>
        <w:rPr>
          <w:rFonts w:ascii="Georgia" w:eastAsia="Times New Roman" w:hAnsi="Georgia" w:cs="Times New Roman"/>
          <w:b/>
          <w:bCs/>
          <w:i/>
          <w:iCs/>
          <w:color w:val="212529"/>
          <w:lang w:eastAsia="it-IT"/>
        </w:rPr>
      </w:pPr>
      <w:r w:rsidRPr="005A39C0">
        <w:rPr>
          <w:rFonts w:ascii="Georgia" w:eastAsia="Times New Roman" w:hAnsi="Georgia" w:cs="Times New Roman"/>
          <w:b/>
          <w:bCs/>
          <w:i/>
          <w:iCs/>
          <w:color w:val="212529"/>
          <w:lang w:eastAsia="it-IT"/>
        </w:rPr>
        <w:t>3. CITTADINANZA DIGITALE</w:t>
      </w:r>
    </w:p>
    <w:p w14:paraId="18734095"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Alla cittadinanza digitale è dedicato l’intero articolo 5 della Legge, che esplicita le abilità essenziali da sviluppare nei curricoli di Istituto, con gradualità e tenendo conto dell’età degli studenti. Per “Cittadinanza digitale” deve intendersi la capacità di un individuo di avvalersi consapevolmente e responsabilmente dei mezzi di comunicazione virtuali.</w:t>
      </w:r>
    </w:p>
    <w:p w14:paraId="1881406A"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 xml:space="preserve">Sviluppare questa capacità a scuola, con studenti che sono già immersi nel web e che quotidianamente si imbattono nelle tematiche proposte, significa da una parte consentire l’acquisizione di informazioni e competenze utili a migliorare questo nuovo e così radicato modo di </w:t>
      </w:r>
      <w:r w:rsidRPr="005A39C0">
        <w:rPr>
          <w:rFonts w:ascii="Georgia" w:eastAsia="Times New Roman" w:hAnsi="Georgia" w:cs="Times New Roman"/>
          <w:i/>
          <w:iCs/>
          <w:color w:val="212529"/>
          <w:lang w:eastAsia="it-IT"/>
        </w:rPr>
        <w:lastRenderedPageBreak/>
        <w:t>stare nel mondo, dall’altra mettere i giovani al corrente dei rischi e delle insidie che l’ambiente digitale comporta, considerando anche le conseguenze sul piano concreto.</w:t>
      </w:r>
    </w:p>
    <w:p w14:paraId="3190E366"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L’approccio e l’approfondimento di questi temi dovrà iniziare fin dal primo ciclo di istruzione: con opportune e diversificate strategie, infatti, tutte le età hanno il diritto e la necessità di esserne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w:t>
      </w:r>
      <w:r w:rsidRPr="005A39C0">
        <w:rPr>
          <w:rFonts w:ascii="Georgia" w:eastAsia="Times New Roman" w:hAnsi="Georgia" w:cs="Times New Roman"/>
          <w:i/>
          <w:iCs/>
          <w:color w:val="212529"/>
          <w:lang w:eastAsia="it-IT"/>
        </w:rPr>
        <w:cr/>
      </w:r>
    </w:p>
    <w:p w14:paraId="1E707F12" w14:textId="77777777" w:rsidR="00052322" w:rsidRDefault="00052322" w:rsidP="00052322">
      <w:pPr>
        <w:jc w:val="both"/>
        <w:rPr>
          <w:rFonts w:ascii="Georgia" w:eastAsia="Times New Roman" w:hAnsi="Georgia" w:cs="Times New Roman"/>
          <w:b/>
          <w:bCs/>
          <w:color w:val="0070C0"/>
          <w:sz w:val="28"/>
          <w:szCs w:val="28"/>
          <w:lang w:eastAsia="it-IT"/>
        </w:rPr>
      </w:pPr>
      <w:r w:rsidRPr="00BD3532">
        <w:rPr>
          <w:rFonts w:ascii="Georgia" w:eastAsia="Times New Roman" w:hAnsi="Georgia" w:cs="Times New Roman"/>
          <w:b/>
          <w:bCs/>
          <w:color w:val="0070C0"/>
          <w:sz w:val="28"/>
          <w:szCs w:val="28"/>
          <w:lang w:eastAsia="it-IT"/>
        </w:rPr>
        <w:t>ATTUAZIONE DEL</w:t>
      </w:r>
      <w:r>
        <w:rPr>
          <w:rFonts w:ascii="Georgia" w:eastAsia="Times New Roman" w:hAnsi="Georgia" w:cs="Times New Roman"/>
          <w:b/>
          <w:bCs/>
          <w:color w:val="0070C0"/>
          <w:sz w:val="28"/>
          <w:szCs w:val="28"/>
          <w:lang w:eastAsia="it-IT"/>
        </w:rPr>
        <w:t xml:space="preserve"> PIANO DELL’OFFERTA FORMATIVA TRIENNALE (PTOF)</w:t>
      </w:r>
    </w:p>
    <w:p w14:paraId="5CC7A629" w14:textId="77777777" w:rsidR="00052322" w:rsidRDefault="00052322" w:rsidP="00052322">
      <w:pPr>
        <w:pStyle w:val="Paragrafoelenco"/>
        <w:numPr>
          <w:ilvl w:val="0"/>
          <w:numId w:val="2"/>
        </w:numPr>
        <w:jc w:val="both"/>
        <w:rPr>
          <w:rFonts w:ascii="Georgia" w:eastAsia="Times New Roman" w:hAnsi="Georgia" w:cs="Times New Roman"/>
          <w:color w:val="0070C0"/>
          <w:sz w:val="28"/>
          <w:szCs w:val="28"/>
          <w:lang w:eastAsia="it-IT"/>
        </w:rPr>
      </w:pPr>
      <w:r>
        <w:rPr>
          <w:rFonts w:ascii="Georgia" w:eastAsia="Times New Roman" w:hAnsi="Georgia" w:cs="Times New Roman"/>
          <w:color w:val="0070C0"/>
          <w:sz w:val="28"/>
          <w:szCs w:val="28"/>
          <w:lang w:eastAsia="it-IT"/>
        </w:rPr>
        <w:t>DAL PUNTO DI VISTA STRUTTURALE</w:t>
      </w:r>
    </w:p>
    <w:p w14:paraId="723E5DD1" w14:textId="77777777" w:rsidR="00052322" w:rsidRDefault="00052322" w:rsidP="00052322">
      <w:pPr>
        <w:jc w:val="both"/>
        <w:rPr>
          <w:rFonts w:ascii="Georgia" w:eastAsia="Times New Roman" w:hAnsi="Georgia" w:cs="Times New Roman"/>
          <w:color w:val="212529"/>
          <w:sz w:val="26"/>
          <w:szCs w:val="26"/>
          <w:lang w:eastAsia="it-IT"/>
        </w:rPr>
      </w:pPr>
      <w:r w:rsidRPr="00C564BD">
        <w:rPr>
          <w:rFonts w:ascii="Georgia" w:eastAsia="Times New Roman" w:hAnsi="Georgia" w:cs="Times New Roman"/>
          <w:color w:val="212529"/>
          <w:sz w:val="26"/>
          <w:szCs w:val="26"/>
          <w:lang w:eastAsia="it-IT"/>
        </w:rPr>
        <w:t xml:space="preserve">Il curricolo del Liceo Vittorini prevede, </w:t>
      </w:r>
      <w:r>
        <w:rPr>
          <w:rFonts w:ascii="Georgia" w:eastAsia="Times New Roman" w:hAnsi="Georgia" w:cs="Times New Roman"/>
          <w:color w:val="212529"/>
          <w:sz w:val="26"/>
          <w:szCs w:val="26"/>
          <w:lang w:eastAsia="it-IT"/>
        </w:rPr>
        <w:t>oltre alle discipline e al monte ore comune a tutti i licei scientifici tradizionali:</w:t>
      </w:r>
    </w:p>
    <w:p w14:paraId="5DA1FC7B" w14:textId="77777777" w:rsidR="00052322" w:rsidRDefault="00052322" w:rsidP="00052322">
      <w:pPr>
        <w:pStyle w:val="Paragrafoelenco"/>
        <w:numPr>
          <w:ilvl w:val="0"/>
          <w:numId w:val="2"/>
        </w:num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Un’ora in più settimanale di scienze nelle classi seconde, finalizzata alla pratica laboratoriale;</w:t>
      </w:r>
    </w:p>
    <w:p w14:paraId="2A5FE7B5" w14:textId="77777777" w:rsidR="00052322" w:rsidRPr="008D4848" w:rsidRDefault="00052322" w:rsidP="00052322">
      <w:pPr>
        <w:pStyle w:val="Paragrafoelenco"/>
        <w:numPr>
          <w:ilvl w:val="0"/>
          <w:numId w:val="2"/>
        </w:num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Un’ora di insegnamento della disciplina diritto alla settimana per le classi terze; in questo ambito sono oggetto di studio i principi e più significativi articoli della Costituzione nonché alcuni dei temi elencati nel primo nucleo dell’allegato A</w:t>
      </w:r>
    </w:p>
    <w:p w14:paraId="3C48C93F" w14:textId="77777777" w:rsidR="00052322" w:rsidRPr="008D4848" w:rsidRDefault="00052322" w:rsidP="00052322">
      <w:pPr>
        <w:pStyle w:val="Paragrafoelenco"/>
        <w:numPr>
          <w:ilvl w:val="0"/>
          <w:numId w:val="2"/>
        </w:num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Un’ora di economia alla settimana per le classi quarte; nell’ambito di questa disciplina si affrontano temi concreti e i principi della sostenibilità economica, della finanza etica e dell’accesso al lavoro, della dignità del lavoro ecc.</w:t>
      </w:r>
    </w:p>
    <w:p w14:paraId="4F5D3C18" w14:textId="77777777" w:rsidR="00052322" w:rsidRPr="008D4848" w:rsidRDefault="00052322" w:rsidP="00052322">
      <w:p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Poiché l’Educazione Civica è una disciplina curricolare, che rientra a pieno titolo tra le discipline per cui è prevista una valutazione degli apprendimenti conseguiti, ma anche trasversale, la scelta dei contenuti trasversali tiene conto dei programmi di insegnamento e dei traguardi previsti per la specifica classe in cui tale insegnamento trasversale è impartito.</w:t>
      </w:r>
    </w:p>
    <w:p w14:paraId="46D74620" w14:textId="77777777" w:rsidR="00052322" w:rsidRPr="008D4848" w:rsidRDefault="00052322" w:rsidP="00052322">
      <w:p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La declinazione in forme diverse dei singoli percorsi tra un Consiglio di Classe e l’altro appartiene alla logica virtuosa della valorizzazione di specificità di contesto, pur nel tendere verso l’acquisizione di competenze comuni.</w:t>
      </w:r>
    </w:p>
    <w:p w14:paraId="4BAA188F" w14:textId="77777777" w:rsidR="00052322" w:rsidRPr="00C564BD" w:rsidRDefault="00052322" w:rsidP="00052322">
      <w:pPr>
        <w:jc w:val="both"/>
        <w:rPr>
          <w:rFonts w:ascii="Georgia" w:eastAsia="Times New Roman" w:hAnsi="Georgia" w:cs="Times New Roman"/>
          <w:color w:val="212529"/>
          <w:sz w:val="26"/>
          <w:szCs w:val="26"/>
          <w:lang w:eastAsia="it-IT"/>
        </w:rPr>
      </w:pPr>
    </w:p>
    <w:p w14:paraId="577D051B" w14:textId="77777777" w:rsidR="00052322" w:rsidRPr="00BB4EB4" w:rsidRDefault="00052322" w:rsidP="00052322">
      <w:pPr>
        <w:pStyle w:val="Paragrafoelenco"/>
        <w:numPr>
          <w:ilvl w:val="0"/>
          <w:numId w:val="2"/>
        </w:numPr>
        <w:jc w:val="both"/>
        <w:rPr>
          <w:rFonts w:ascii="Georgia" w:eastAsia="Times New Roman" w:hAnsi="Georgia" w:cs="Times New Roman"/>
          <w:color w:val="0070C0"/>
          <w:sz w:val="28"/>
          <w:szCs w:val="28"/>
          <w:lang w:eastAsia="it-IT"/>
        </w:rPr>
      </w:pPr>
      <w:r>
        <w:rPr>
          <w:rFonts w:ascii="Georgia" w:eastAsia="Times New Roman" w:hAnsi="Georgia" w:cs="Times New Roman"/>
          <w:color w:val="0070C0"/>
          <w:sz w:val="28"/>
          <w:szCs w:val="28"/>
          <w:lang w:eastAsia="it-IT"/>
        </w:rPr>
        <w:t>SOTTO IL PROFILO DELLE COMPETENZE TRASVERSALI</w:t>
      </w:r>
    </w:p>
    <w:p w14:paraId="7239D0DF" w14:textId="77777777" w:rsidR="00052322" w:rsidRPr="00370F8C" w:rsidRDefault="00052322" w:rsidP="00052322">
      <w:pPr>
        <w:jc w:val="both"/>
        <w:rPr>
          <w:rFonts w:ascii="Georgia" w:eastAsia="Times New Roman" w:hAnsi="Georgia" w:cs="Times New Roman"/>
          <w:color w:val="212529"/>
          <w:sz w:val="26"/>
          <w:szCs w:val="26"/>
          <w:lang w:eastAsia="it-IT"/>
        </w:rPr>
      </w:pPr>
      <w:r w:rsidRPr="00370F8C">
        <w:rPr>
          <w:rFonts w:ascii="Georgia" w:eastAsia="Times New Roman" w:hAnsi="Georgia" w:cs="Times New Roman"/>
          <w:color w:val="212529"/>
          <w:sz w:val="26"/>
          <w:szCs w:val="26"/>
          <w:lang w:eastAsia="it-IT"/>
        </w:rPr>
        <w:t>Il Collegio Docenti ha approvato che i curric</w:t>
      </w:r>
      <w:r>
        <w:rPr>
          <w:rFonts w:ascii="Georgia" w:eastAsia="Times New Roman" w:hAnsi="Georgia" w:cs="Times New Roman"/>
          <w:color w:val="212529"/>
          <w:sz w:val="26"/>
          <w:szCs w:val="26"/>
          <w:lang w:eastAsia="it-IT"/>
        </w:rPr>
        <w:t>u</w:t>
      </w:r>
      <w:r w:rsidRPr="00370F8C">
        <w:rPr>
          <w:rFonts w:ascii="Georgia" w:eastAsia="Times New Roman" w:hAnsi="Georgia" w:cs="Times New Roman"/>
          <w:color w:val="212529"/>
          <w:sz w:val="26"/>
          <w:szCs w:val="26"/>
          <w:lang w:eastAsia="it-IT"/>
        </w:rPr>
        <w:t>la del Liceo sviluppino le seguenti competenze trasversali: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890"/>
        <w:gridCol w:w="4780"/>
      </w:tblGrid>
      <w:tr w:rsidR="00052322" w:rsidRPr="00242426" w14:paraId="6195A95E" w14:textId="77777777" w:rsidTr="00444D86">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2F0EE2B7"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r w:rsidRPr="00242426">
              <w:rPr>
                <w:rFonts w:ascii="Times New Roman" w:eastAsia="Times New Roman" w:hAnsi="Times New Roman" w:cs="Times New Roman"/>
                <w:b/>
                <w:sz w:val="24"/>
                <w:szCs w:val="24"/>
                <w:lang w:eastAsia="zh-CN"/>
              </w:rPr>
              <w:t>Annualità</w:t>
            </w:r>
          </w:p>
        </w:tc>
        <w:tc>
          <w:tcPr>
            <w:tcW w:w="7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C48F1"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r w:rsidRPr="00242426">
              <w:rPr>
                <w:rFonts w:ascii="Times New Roman" w:eastAsia="Times New Roman" w:hAnsi="Times New Roman" w:cs="Times New Roman"/>
                <w:b/>
                <w:sz w:val="24"/>
                <w:szCs w:val="24"/>
                <w:lang w:eastAsia="zh-CN"/>
              </w:rPr>
              <w:t>Competenze trasversali comuni a tutte le discipline</w:t>
            </w:r>
          </w:p>
          <w:p w14:paraId="7D2723CF"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p>
        </w:tc>
      </w:tr>
      <w:tr w:rsidR="00052322" w:rsidRPr="00242426" w14:paraId="62773044" w14:textId="77777777" w:rsidTr="00444D86">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458F6E03"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Prime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2A7C5464"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Conoscere ed utilizzare il lessico specifico minimo per le classi prime</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EBE37FF"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 xml:space="preserve">Saper utilizzare gli strumenti funzionali allo studio: dizionario, elenco vocaboli, calcolatrice, atlante, riga, squadra, compasso, fogli di calcolo e software per la scrittura, quaderno, libri, </w:t>
            </w:r>
            <w:r w:rsidRPr="00242426">
              <w:rPr>
                <w:rFonts w:ascii="Times New Roman" w:eastAsia="Times New Roman" w:hAnsi="Times New Roman" w:cs="Times New Roman"/>
                <w:sz w:val="24"/>
                <w:szCs w:val="24"/>
                <w:lang w:eastAsia="zh-CN"/>
              </w:rPr>
              <w:lastRenderedPageBreak/>
              <w:t xml:space="preserve">materiale multimediale dei libri di testo, strumenti del laboratorio di lingue, attrezzi sportivi proposti </w:t>
            </w:r>
          </w:p>
        </w:tc>
      </w:tr>
      <w:tr w:rsidR="00052322" w:rsidRPr="00242426" w14:paraId="427875F5" w14:textId="77777777" w:rsidTr="00444D86">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118379A5"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bookmarkStart w:id="1" w:name="_Hlk64212594"/>
            <w:r w:rsidRPr="00242426">
              <w:rPr>
                <w:rFonts w:ascii="Times New Roman" w:eastAsia="Times New Roman" w:hAnsi="Times New Roman" w:cs="Times New Roman"/>
                <w:sz w:val="24"/>
                <w:szCs w:val="24"/>
                <w:lang w:eastAsia="zh-CN"/>
              </w:rPr>
              <w:lastRenderedPageBreak/>
              <w:t>Classi Seconde</w:t>
            </w: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7BDE79B7"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Leggere, comprendere, analizzare testi scritti di vario genere a seconda della materia</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0F06C53"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4"/>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Approcciare con sicurezza test e prove di vario tipo e produrre contenuti secondo modalità e registri differenziati</w:t>
            </w:r>
          </w:p>
        </w:tc>
      </w:tr>
      <w:tr w:rsidR="00052322" w:rsidRPr="00242426" w14:paraId="66EEDC19" w14:textId="77777777" w:rsidTr="00444D86">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22520EA0"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bookmarkStart w:id="2" w:name="_Hlk64215781"/>
            <w:bookmarkEnd w:id="1"/>
            <w:r w:rsidRPr="00242426">
              <w:rPr>
                <w:rFonts w:ascii="Times New Roman" w:eastAsia="Times New Roman" w:hAnsi="Times New Roman" w:cs="Times New Roman"/>
                <w:sz w:val="24"/>
                <w:szCs w:val="24"/>
                <w:lang w:eastAsia="zh-CN"/>
              </w:rPr>
              <w:t>Classi Terze</w:t>
            </w: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4107C2B4"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Operare comparazioni e/o collegamenti in campi diversi del sapere</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61C53E2B"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proofErr w:type="gramStart"/>
            <w:r w:rsidRPr="00242426">
              <w:rPr>
                <w:rFonts w:ascii="Times New Roman" w:eastAsia="Times New Roman" w:hAnsi="Times New Roman" w:cs="Times New Roman"/>
                <w:sz w:val="24"/>
                <w:szCs w:val="24"/>
                <w:lang w:eastAsia="zh-CN"/>
              </w:rPr>
              <w:t>Produrre  sintesi</w:t>
            </w:r>
            <w:proofErr w:type="gramEnd"/>
            <w:r w:rsidRPr="00242426">
              <w:rPr>
                <w:rFonts w:ascii="Times New Roman" w:eastAsia="Times New Roman" w:hAnsi="Times New Roman" w:cs="Times New Roman"/>
                <w:sz w:val="24"/>
                <w:szCs w:val="24"/>
                <w:lang w:eastAsia="zh-CN"/>
              </w:rPr>
              <w:t xml:space="preserve">  utilizzando diversi registri comunicativi </w:t>
            </w:r>
          </w:p>
        </w:tc>
      </w:tr>
      <w:bookmarkEnd w:id="2"/>
      <w:tr w:rsidR="00052322" w:rsidRPr="00242426" w14:paraId="668E204D" w14:textId="77777777" w:rsidTr="00444D86">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747E9B2C"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Quarte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3813DCFF"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Argomentare, saper produrre una relazione fondandola su argomentazioni coerenti</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D11FFC5"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Ricondurre all’essenziale, raffinando la capacità di sintesi efficace</w:t>
            </w:r>
          </w:p>
        </w:tc>
      </w:tr>
      <w:tr w:rsidR="00052322" w:rsidRPr="00242426" w14:paraId="198A29FC" w14:textId="77777777" w:rsidTr="00444D86">
        <w:tc>
          <w:tcPr>
            <w:tcW w:w="1964" w:type="dxa"/>
            <w:tcBorders>
              <w:top w:val="single" w:sz="4" w:space="0" w:color="auto"/>
              <w:left w:val="single" w:sz="4" w:space="0" w:color="auto"/>
              <w:bottom w:val="single" w:sz="4" w:space="0" w:color="auto"/>
              <w:right w:val="single" w:sz="4" w:space="0" w:color="auto"/>
            </w:tcBorders>
            <w:shd w:val="clear" w:color="auto" w:fill="auto"/>
            <w:hideMark/>
          </w:tcPr>
          <w:p w14:paraId="757A0E00"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Quinte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667802A5"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Produrre una riflessione critica personale che utilizzi contenuti appresi contestualizzandoli in una situazione contemporanea.</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250A5C78"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Saper analizzare, inquadrare, cogliere elementi nuovi, dimostrando la capacità di rivedere e correggere</w:t>
            </w:r>
          </w:p>
        </w:tc>
      </w:tr>
    </w:tbl>
    <w:p w14:paraId="64795979" w14:textId="77777777" w:rsidR="00052322" w:rsidRDefault="00052322" w:rsidP="00052322">
      <w:pPr>
        <w:jc w:val="both"/>
        <w:rPr>
          <w:rFonts w:ascii="Georgia" w:eastAsia="Times New Roman" w:hAnsi="Georgia" w:cs="Times New Roman"/>
          <w:color w:val="212529"/>
          <w:sz w:val="26"/>
          <w:szCs w:val="26"/>
          <w:lang w:eastAsia="it-IT"/>
        </w:rPr>
      </w:pPr>
    </w:p>
    <w:p w14:paraId="1E6A6840" w14:textId="77777777" w:rsidR="00052322" w:rsidRDefault="00052322" w:rsidP="00052322">
      <w:pPr>
        <w:jc w:val="both"/>
      </w:pPr>
      <w:r>
        <w:rPr>
          <w:rFonts w:ascii="Georgia" w:eastAsia="Times New Roman" w:hAnsi="Georgia" w:cs="Times New Roman"/>
          <w:color w:val="212529"/>
          <w:sz w:val="26"/>
          <w:szCs w:val="26"/>
          <w:lang w:eastAsia="it-IT"/>
        </w:rPr>
        <w:t xml:space="preserve">Poiché l’Educazione Civica è una disciplina a tutti gli effetti, che rientra nel curriculo scolastico, essa deve tener conto di questa declinazione, come avviene per le altre discipline, </w:t>
      </w:r>
      <w:r w:rsidRPr="00324969">
        <w:rPr>
          <w:rFonts w:ascii="Georgia" w:eastAsia="Times New Roman" w:hAnsi="Georgia" w:cs="Times New Roman"/>
          <w:sz w:val="26"/>
          <w:szCs w:val="26"/>
          <w:lang w:eastAsia="it-IT"/>
        </w:rPr>
        <w:t xml:space="preserve">contribuendo a sviluppare </w:t>
      </w:r>
      <w:r>
        <w:rPr>
          <w:rFonts w:ascii="Georgia" w:eastAsia="Times New Roman" w:hAnsi="Georgia" w:cs="Times New Roman"/>
          <w:color w:val="212529"/>
          <w:sz w:val="26"/>
          <w:szCs w:val="26"/>
          <w:lang w:eastAsia="it-IT"/>
        </w:rPr>
        <w:t>tali imprescindibili competenze trasversali.</w:t>
      </w:r>
    </w:p>
    <w:p w14:paraId="155F117B" w14:textId="3F48459D" w:rsidR="0089322C" w:rsidRDefault="0089322C"/>
    <w:sectPr w:rsidR="00893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1EA3"/>
    <w:multiLevelType w:val="hybridMultilevel"/>
    <w:tmpl w:val="B00E8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B33058"/>
    <w:multiLevelType w:val="hybridMultilevel"/>
    <w:tmpl w:val="9A5A0676"/>
    <w:lvl w:ilvl="0" w:tplc="47727356">
      <w:start w:val="3"/>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22"/>
    <w:rsid w:val="00052322"/>
    <w:rsid w:val="00893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933"/>
  <w15:chartTrackingRefBased/>
  <w15:docId w15:val="{114E6EE3-102D-4ED0-8345-FB06F2A0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23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arioli</dc:creator>
  <cp:keywords/>
  <dc:description/>
  <cp:lastModifiedBy>andrea arioli</cp:lastModifiedBy>
  <cp:revision>1</cp:revision>
  <dcterms:created xsi:type="dcterms:W3CDTF">2021-11-16T18:29:00Z</dcterms:created>
  <dcterms:modified xsi:type="dcterms:W3CDTF">2021-11-16T18:30:00Z</dcterms:modified>
</cp:coreProperties>
</file>