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57D4" w14:textId="77777777" w:rsidR="00F933BD" w:rsidRDefault="00F933BD" w:rsidP="00F933BD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7 -III</w:t>
      </w:r>
    </w:p>
    <w:p w14:paraId="0FE15428" w14:textId="77777777" w:rsidR="00F933BD" w:rsidRPr="00E14541" w:rsidRDefault="00F933BD" w:rsidP="00F933BD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E14541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CLASSI 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TERZE</w:t>
      </w:r>
    </w:p>
    <w:p w14:paraId="52664AD6" w14:textId="77777777" w:rsidR="00F933BD" w:rsidRPr="0003773F" w:rsidRDefault="00F933BD" w:rsidP="00F933BD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Tema trasversale </w:t>
      </w:r>
    </w:p>
    <w:p w14:paraId="3951D872" w14:textId="77777777" w:rsidR="00F933BD" w:rsidRPr="00735B19" w:rsidRDefault="00F933BD" w:rsidP="00F933BD">
      <w:pPr>
        <w:jc w:val="both"/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“</w:t>
      </w:r>
      <w:r w:rsidRPr="00735B19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Sostenibilità come sfida di legalità, impegno civile, comunicazione efficace.</w:t>
      </w:r>
      <w:r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”</w:t>
      </w:r>
    </w:p>
    <w:p w14:paraId="13E96C0D" w14:textId="77777777" w:rsidR="00F933BD" w:rsidRDefault="00F933BD" w:rsidP="00F933BD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</w:p>
    <w:p w14:paraId="7CE2F201" w14:textId="77777777" w:rsidR="00F933BD" w:rsidRPr="0003773F" w:rsidRDefault="00F933BD" w:rsidP="00F933BD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Interconnessione tra le discipline</w:t>
      </w:r>
    </w:p>
    <w:p w14:paraId="296B14EA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Italiano, diritto, scienze, disegno e storia dell’arte, con la collaborazione della docente di economia, della docente di scienze umane e di sostegno.</w:t>
      </w:r>
    </w:p>
    <w:p w14:paraId="0C0E14ED" w14:textId="77777777" w:rsidR="00F933BD" w:rsidRPr="0003773F" w:rsidRDefault="00F933BD" w:rsidP="00F933BD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Nuclei concettuali</w:t>
      </w:r>
    </w:p>
    <w:p w14:paraId="13457941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Come da programmazione indicata nella circolare interna n. 165 del 19 gennaio 2021:</w:t>
      </w:r>
    </w:p>
    <w:p w14:paraId="6B496C15" w14:textId="77777777" w:rsidR="00F933BD" w:rsidRDefault="00F933BD" w:rsidP="00F933BD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AC447AE" w14:textId="77777777" w:rsidR="00F933BD" w:rsidRPr="003B252A" w:rsidRDefault="00F933BD" w:rsidP="00F933BD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1:</w:t>
      </w:r>
    </w:p>
    <w:p w14:paraId="56FEC756" w14:textId="77777777" w:rsidR="00F933BD" w:rsidRDefault="00F933BD" w:rsidP="00F933BD">
      <w:pPr>
        <w:pStyle w:val="Paragrafoelenco"/>
        <w:numPr>
          <w:ilvl w:val="0"/>
          <w:numId w:val="2"/>
        </w:numP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1C51C9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COSTITUZIONE, diritto (nazionale e internazionale), legalità e solidarietà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</w:p>
    <w:p w14:paraId="07320217" w14:textId="77777777" w:rsidR="00F933BD" w:rsidRDefault="00F933BD" w:rsidP="00F933BD">
      <w:pPr>
        <w:pStyle w:val="Paragrafoelenc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(</w:t>
      </w:r>
      <w:r w:rsidRPr="000F28CA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temi relativi alla conoscenza dell’ordinamento dello Stato, delle Regioni, degli Enti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  <w:r w:rsidRPr="000F28CA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territoriali, delle Autonomie Locali e delle Organizzazioni internazionali e sovranazionali, concetti di legalità,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  <w:r w:rsidRPr="000F28CA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di rispetto delle leggi e delle regole comuni in tutti gli ambienti di convivenza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)</w:t>
      </w:r>
    </w:p>
    <w:p w14:paraId="2486E9A6" w14:textId="77777777" w:rsidR="00F933BD" w:rsidRDefault="00F933BD" w:rsidP="00F933BD">
      <w:pPr>
        <w:pStyle w:val="Paragrafoelenc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</w:p>
    <w:p w14:paraId="66BE4F1B" w14:textId="77777777" w:rsidR="00F933BD" w:rsidRDefault="00F933BD" w:rsidP="00F933BD">
      <w:pPr>
        <w:pStyle w:val="Paragrafoelenc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CON LA DOCENTE DI DIRITTO:</w:t>
      </w:r>
    </w:p>
    <w:p w14:paraId="2DEDBBCA" w14:textId="77777777" w:rsidR="00F933BD" w:rsidRPr="004F7AB6" w:rsidRDefault="00F933BD" w:rsidP="00F933B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4F7AB6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Differenza tra norme giuridiche e non giuridiche e le relative sanzioni; </w:t>
      </w:r>
    </w:p>
    <w:p w14:paraId="144A0D53" w14:textId="77777777" w:rsidR="00F933BD" w:rsidRPr="004F7AB6" w:rsidRDefault="00F933BD" w:rsidP="00F933B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4F7AB6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Nozione di Stato -elementi costitutivi-; </w:t>
      </w:r>
    </w:p>
    <w:p w14:paraId="77EDF3ED" w14:textId="77777777" w:rsidR="00F933BD" w:rsidRPr="004F7AB6" w:rsidRDefault="00F933BD" w:rsidP="00F933B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4F7AB6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Modi di acquisto della cittadinanza; </w:t>
      </w:r>
    </w:p>
    <w:p w14:paraId="7EB3D5F0" w14:textId="77777777" w:rsidR="00F933BD" w:rsidRPr="004F7AB6" w:rsidRDefault="00F933BD" w:rsidP="00F933B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4F7AB6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Gli elementi del rapporto giuridico -capacità giuridica e capacità d'agire </w:t>
      </w:r>
    </w:p>
    <w:p w14:paraId="5423485B" w14:textId="77777777" w:rsidR="00F933BD" w:rsidRPr="004F7AB6" w:rsidRDefault="00F933BD" w:rsidP="00F933B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4F7AB6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La Costituzione e i suoi principi fondamentali (art. 1- 12); </w:t>
      </w:r>
    </w:p>
    <w:p w14:paraId="689BA1C0" w14:textId="77777777" w:rsidR="00F933BD" w:rsidRPr="004F7AB6" w:rsidRDefault="00F933BD" w:rsidP="00F933B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4F7AB6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Costituzione, tutela dell’ambiente e sostenibilità. </w:t>
      </w:r>
    </w:p>
    <w:p w14:paraId="359922A9" w14:textId="77777777" w:rsidR="00F933BD" w:rsidRPr="004F7AB6" w:rsidRDefault="00F933BD" w:rsidP="00F933B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4F7AB6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I principali diritti e doveri della Costituzione (art. 13 - 54); </w:t>
      </w:r>
    </w:p>
    <w:p w14:paraId="4ED3740D" w14:textId="77777777" w:rsidR="00F933BD" w:rsidRDefault="00F933BD" w:rsidP="00F933BD">
      <w:pPr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4F7AB6">
        <w:rPr>
          <w:rFonts w:ascii="Georgia" w:eastAsia="Times New Roman" w:hAnsi="Georgia"/>
          <w:color w:val="212529"/>
          <w:sz w:val="26"/>
          <w:szCs w:val="26"/>
          <w:lang w:eastAsia="it-IT"/>
        </w:rPr>
        <w:t>Gli organi costituzionali dello Stato: Parlamento e Iter legis, Governo, Presidente della Repubblica, Magistratura e Corte Costituzionale</w:t>
      </w:r>
      <w:r>
        <w:rPr>
          <w:rFonts w:ascii="Georgia" w:eastAsia="Times New Roman" w:hAnsi="Georgia"/>
          <w:color w:val="212529"/>
          <w:sz w:val="26"/>
          <w:szCs w:val="26"/>
          <w:lang w:eastAsia="it-IT"/>
        </w:rPr>
        <w:t>.</w:t>
      </w:r>
    </w:p>
    <w:p w14:paraId="2117FB94" w14:textId="77777777" w:rsidR="00F933BD" w:rsidRPr="003B252A" w:rsidRDefault="00F933BD" w:rsidP="00F933BD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2:</w:t>
      </w:r>
    </w:p>
    <w:p w14:paraId="301B22FA" w14:textId="77777777" w:rsidR="00F933BD" w:rsidRPr="00D21D6C" w:rsidRDefault="00F933BD" w:rsidP="00F933BD">
      <w:pPr>
        <w:pStyle w:val="Paragrafoelenco"/>
        <w:numPr>
          <w:ilvl w:val="0"/>
          <w:numId w:val="3"/>
        </w:numPr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D52F1E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SVILUPPO SOSTENIBILE, educazione ambientale, conoscenza e tutela del patrimonio e del territorio (come precisato dalle Linee Guida e richiamato nel curricolo di Educazione Civica del Liceo Vittorini, questo secondo ambito comprende anche le iniziative di Educazione alla Salute): </w:t>
      </w:r>
    </w:p>
    <w:p w14:paraId="1C198BDE" w14:textId="77777777" w:rsidR="00F933BD" w:rsidRPr="00D52F1E" w:rsidRDefault="00F933BD" w:rsidP="00F933BD">
      <w:pPr>
        <w:pStyle w:val="Paragrafoelenco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</w:p>
    <w:p w14:paraId="1B177C39" w14:textId="77777777" w:rsidR="00F933BD" w:rsidRPr="00D21D6C" w:rsidRDefault="00F933BD" w:rsidP="00F933B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/>
          <w:color w:val="212529"/>
          <w:sz w:val="26"/>
          <w:szCs w:val="26"/>
          <w:lang w:eastAsia="it-IT"/>
        </w:rPr>
        <w:lastRenderedPageBreak/>
        <w:t xml:space="preserve">MODULO B: </w:t>
      </w:r>
      <w:r w:rsidRPr="00D21D6C">
        <w:rPr>
          <w:rFonts w:ascii="Georgia" w:eastAsia="Times New Roman" w:hAnsi="Georgia"/>
          <w:color w:val="212529"/>
          <w:sz w:val="26"/>
          <w:szCs w:val="26"/>
          <w:lang w:eastAsia="it-IT"/>
        </w:rPr>
        <w:t>“</w:t>
      </w:r>
      <w:r>
        <w:rPr>
          <w:rFonts w:ascii="Georgia" w:eastAsia="Times New Roman" w:hAnsi="Georgia"/>
          <w:color w:val="212529"/>
          <w:sz w:val="26"/>
          <w:szCs w:val="26"/>
          <w:lang w:eastAsia="it-IT"/>
        </w:rPr>
        <w:t>L</w:t>
      </w:r>
      <w:r w:rsidRPr="00D21D6C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a gestione del rischio chimico ed ambientale nel settore moda, tessile e della pelle”: cinque incontri condotti dalla dott.ssa </w:t>
      </w:r>
      <w:proofErr w:type="gramStart"/>
      <w:r w:rsidRPr="00D21D6C">
        <w:rPr>
          <w:rFonts w:ascii="Georgia" w:eastAsia="Times New Roman" w:hAnsi="Georgia"/>
          <w:color w:val="212529"/>
          <w:sz w:val="26"/>
          <w:szCs w:val="26"/>
          <w:lang w:eastAsia="it-IT"/>
        </w:rPr>
        <w:t>Tortora ,</w:t>
      </w:r>
      <w:proofErr w:type="gramEnd"/>
      <w:r w:rsidRPr="00D21D6C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 ZDH Foundation, di cui quattro di scienze e uno di educazione alla salute, mese di dicembre 2020,</w:t>
      </w:r>
    </w:p>
    <w:p w14:paraId="6F054F80" w14:textId="77777777" w:rsidR="00F933BD" w:rsidRDefault="00F933BD" w:rsidP="00F933BD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</w:p>
    <w:p w14:paraId="39C7D591" w14:textId="77777777" w:rsidR="00F933BD" w:rsidRPr="003B252A" w:rsidRDefault="00F933BD" w:rsidP="00F933BD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Nucleo </w:t>
      </w:r>
      <w: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3</w:t>
      </w: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:</w:t>
      </w:r>
    </w:p>
    <w:p w14:paraId="4258DD17" w14:textId="77777777" w:rsidR="00F933BD" w:rsidRDefault="00F933BD" w:rsidP="00F933BD">
      <w:pPr>
        <w:pStyle w:val="Paragrafoelenco"/>
        <w:numPr>
          <w:ilvl w:val="0"/>
          <w:numId w:val="2"/>
        </w:numP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5509DA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CITTADINANZA DIGITALE (per “Cittadinanza digitale” deve intendersi la capacità di un individuo di avvalersi consapevolmente e responsabilmente dei mezzi di comunicazione virtuali)</w:t>
      </w:r>
    </w:p>
    <w:p w14:paraId="662684C8" w14:textId="77777777" w:rsidR="00F933BD" w:rsidRPr="00543026" w:rsidRDefault="00F933BD" w:rsidP="00F933BD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MODULO A: </w:t>
      </w:r>
      <w:r w:rsidRPr="0054302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Introduzione a possibili criticità del mondo digitale: prof.ssa Sarcina</w:t>
      </w:r>
    </w:p>
    <w:p w14:paraId="6EC0ED28" w14:textId="77777777" w:rsidR="00F933BD" w:rsidRDefault="00F933BD" w:rsidP="00F933B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MODULO C: </w:t>
      </w:r>
    </w:p>
    <w:p w14:paraId="7A570513" w14:textId="77777777" w:rsidR="00F933BD" w:rsidRDefault="00F933BD" w:rsidP="00F933B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76A9951" w14:textId="77777777" w:rsidR="00F933BD" w:rsidRPr="00747D03" w:rsidRDefault="00F933BD" w:rsidP="00F933B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747D0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Compilazione di un breve questionario, proposto dalle relatrici. Il questionario permette di capire qual è l'impegno in sostenibilità che sta più a cuore ai ragazzi col fine di usarlo come linea guida per i contenuti affrontati durante il webinar successivo. </w:t>
      </w:r>
    </w:p>
    <w:p w14:paraId="4F88BC86" w14:textId="77777777" w:rsidR="00F933BD" w:rsidRDefault="00F933BD" w:rsidP="00F933B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4BB54382" w14:textId="77777777" w:rsidR="00F933BD" w:rsidRPr="004016E5" w:rsidRDefault="00F933BD" w:rsidP="00F933B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016E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26 febbraio 2021 dalle 15 alle </w:t>
      </w:r>
      <w:proofErr w:type="gramStart"/>
      <w:r w:rsidRPr="004016E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17  Webinar</w:t>
      </w:r>
      <w:proofErr w:type="gramEnd"/>
      <w:r w:rsidRPr="004016E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a distanza </w:t>
      </w:r>
    </w:p>
    <w:p w14:paraId="03EBC279" w14:textId="77777777" w:rsidR="00F933BD" w:rsidRPr="00C52AC3" w:rsidRDefault="00F933BD" w:rsidP="00F933B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C52AC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“</w:t>
      </w:r>
      <w:r w:rsidRPr="00543026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Come comunicare l'impegno nella sostenibilità tramite la sinergia di tre strumenti diversi: strategie, testi e immagini/video. Alcune tecniche/metodi per comunicare in modo efficace.</w:t>
      </w:r>
      <w:r w:rsidRPr="00C52AC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”</w:t>
      </w:r>
    </w:p>
    <w:p w14:paraId="0690532F" w14:textId="77777777" w:rsidR="00F933BD" w:rsidRPr="00543026" w:rsidRDefault="00F933BD" w:rsidP="00F933B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69D3E087" w14:textId="77777777" w:rsidR="00F933BD" w:rsidRDefault="00F933BD" w:rsidP="00F933B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Sono intervenuti</w:t>
      </w:r>
      <w:r w:rsidRPr="0054302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: Federica Baldo / Creative Strategist Chiara Becattini / </w:t>
      </w:r>
      <w:proofErr w:type="spellStart"/>
      <w:r w:rsidRPr="0054302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Photography</w:t>
      </w:r>
      <w:proofErr w:type="spellEnd"/>
      <w:r w:rsidRPr="0054302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&amp; Video Sarah </w:t>
      </w:r>
      <w:proofErr w:type="spellStart"/>
      <w:r w:rsidRPr="0054302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Saccullo</w:t>
      </w:r>
      <w:proofErr w:type="spellEnd"/>
      <w:r w:rsidRPr="0054302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/ </w:t>
      </w:r>
      <w:proofErr w:type="spellStart"/>
      <w:r w:rsidRPr="0054302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Copywiter</w:t>
      </w:r>
      <w:proofErr w:type="spellEnd"/>
      <w:r w:rsidRPr="0054302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&amp; UX </w:t>
      </w:r>
      <w:proofErr w:type="gramStart"/>
      <w:r w:rsidRPr="0054302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writer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  <w:proofErr w:type="gramEnd"/>
    </w:p>
    <w:p w14:paraId="00598C90" w14:textId="77777777" w:rsidR="00F933BD" w:rsidRPr="00543026" w:rsidRDefault="00F933BD" w:rsidP="00F933B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06722AE9" w14:textId="77777777" w:rsidR="00F933BD" w:rsidRPr="004016E5" w:rsidRDefault="00F933BD" w:rsidP="00F933B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016E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Lavori di gruppo autogestiti su progetto: gli studenti, suddivisi in gruppi di lavoro, svilupperanno il loro progetto per una campagna di sostenibilità e lo invieranno alle relatrici. Avranno a disposizione 20 giorni circa. Questa attività è conteggiata in sei ore di esercitazione autonoma. </w:t>
      </w:r>
    </w:p>
    <w:p w14:paraId="64E4E1C5" w14:textId="77777777" w:rsidR="00F933BD" w:rsidRPr="00543026" w:rsidRDefault="00F933BD" w:rsidP="00F933B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3BB62276" w14:textId="77777777" w:rsidR="00F933BD" w:rsidRPr="004016E5" w:rsidRDefault="00F933BD" w:rsidP="00F933B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016E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22 marzo 2021 dalle ore 15.00 alle ore 16.00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un’</w:t>
      </w:r>
      <w:r w:rsidRPr="004016E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ora di sessione per feedback sui progetti svolti. </w:t>
      </w:r>
    </w:p>
    <w:p w14:paraId="5554DF09" w14:textId="77777777" w:rsidR="00F933BD" w:rsidRPr="00543026" w:rsidRDefault="00F933BD" w:rsidP="00F933B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33FD31C4" w14:textId="77777777" w:rsidR="00F933BD" w:rsidRPr="00A410F8" w:rsidRDefault="00F933BD" w:rsidP="00F933BD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Abilità e conoscenze adottate dal Collegio Docenti in conformità dall’allegato C alle linee guida </w:t>
      </w:r>
    </w:p>
    <w:p w14:paraId="136AE959" w14:textId="77777777" w:rsidR="00F933BD" w:rsidRDefault="00F933BD" w:rsidP="00F933BD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1:</w:t>
      </w:r>
    </w:p>
    <w:p w14:paraId="0786B734" w14:textId="77777777" w:rsidR="00F933BD" w:rsidRDefault="00F933BD" w:rsidP="00F933B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130D4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Conoscere l’organizzazione costituzionale ed amministrativa del nostro Paese per rispondere ai propri doveri di cittadino ed esercitare con consapevolezza i propri diritti politici a livello territoriale e nazionale. </w:t>
      </w:r>
    </w:p>
    <w:p w14:paraId="562EFE63" w14:textId="77777777" w:rsidR="00F933BD" w:rsidRPr="00130D42" w:rsidRDefault="00F933BD" w:rsidP="00F933B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63E1F427" w14:textId="77777777" w:rsidR="00F933BD" w:rsidRDefault="00F933BD" w:rsidP="00F933B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130D4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Conoscere i valori che ispirano gli ordinamenti comunitari e internazionali, nonché i loro compiti e funzioni essenziali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6E60745A" w14:textId="77777777" w:rsidR="00F933BD" w:rsidRPr="00130D42" w:rsidRDefault="00F933BD" w:rsidP="00F933B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055C8806" w14:textId="77777777" w:rsidR="00F933BD" w:rsidRPr="004727AF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130D4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Essere consapevoli del valore e delle regole della vita democratica anche attraverso l’approfondimento degli elementi fondamentali del diritto che la regolano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49DB143D" w14:textId="77777777" w:rsidR="00F933BD" w:rsidRPr="00A410F8" w:rsidRDefault="00F933BD" w:rsidP="00F933BD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lastRenderedPageBreak/>
        <w:t>Nucleo 2:</w:t>
      </w:r>
    </w:p>
    <w:p w14:paraId="74A43BA1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F276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Rispettare l’ambiente, curarlo, conservarlo, migliorarlo, assumendo il principio di responsabilità.</w:t>
      </w:r>
    </w:p>
    <w:p w14:paraId="5B9076AA" w14:textId="77777777" w:rsidR="00F933BD" w:rsidRPr="003B4986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Adottare i comportamenti più adeguati per la tutela della sicurezza propria, degli altri e </w:t>
      </w:r>
      <w:proofErr w:type="gramStart"/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dell’ambiente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in</w:t>
      </w:r>
      <w:proofErr w:type="gram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cui si vive, curando l’acquisizione di elementi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formativi di base in materia di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autonomia nelle scelte di vita nella prospettiva della sostenibilità.</w:t>
      </w:r>
    </w:p>
    <w:p w14:paraId="5025363E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Perseguire con ogni mezzo e in ogni contesto il principio di legalità e di solidarietà dell’azione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individuale e sociale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3E9EC43C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E201D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Operare a favore dello sviluppo eco-sostenibile e della tutela delle identità e delle eccellenze produttive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E201D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del Paese.</w:t>
      </w:r>
    </w:p>
    <w:p w14:paraId="6BDB1839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4F3D2829" w14:textId="77777777" w:rsidR="00F933BD" w:rsidRPr="00A410F8" w:rsidRDefault="00F933BD" w:rsidP="00F933BD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3</w:t>
      </w:r>
    </w:p>
    <w:p w14:paraId="783A84A2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5E3C5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Esercitare i principi della cittadinanza digitale, con competenza e coerenza rispetto al sistema integrato di valori che regolano la vita democratica.</w:t>
      </w:r>
    </w:p>
    <w:p w14:paraId="77FF2F96" w14:textId="77777777" w:rsidR="00F933BD" w:rsidRPr="004500D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500D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Compiere le scelte di partecipazione alla vita pubblica e di cittadinanza coerentemente agli obiettivi di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500D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sostenibilità sanciti a livello comunitario attraverso l’Agenda 2030 per lo sviluppo sostenibile.</w:t>
      </w:r>
    </w:p>
    <w:p w14:paraId="13D18DB3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500D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Operare a favore dello sviluppo eco-sostenibile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mediante la costruzione di un progetto di comunicazione sulla sostenibilità.</w:t>
      </w:r>
    </w:p>
    <w:p w14:paraId="6935B769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4CCA1780" w14:textId="77777777" w:rsidR="00F933BD" w:rsidRPr="003B0CED" w:rsidRDefault="00F933BD" w:rsidP="00F933BD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0CED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Competenze oggetto di valutazione e aderenza alle competenze trasversali dell’annualità</w:t>
      </w:r>
    </w:p>
    <w:p w14:paraId="7FF479F7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Si evidenziano le coerenze tra le competenze trasversali previste dal PTOF e le competenze attese.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29"/>
        <w:gridCol w:w="2761"/>
        <w:gridCol w:w="74"/>
        <w:gridCol w:w="4706"/>
      </w:tblGrid>
      <w:tr w:rsidR="00F933BD" w:rsidRPr="00242426" w14:paraId="5054BE4B" w14:textId="77777777" w:rsidTr="00731146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EB38" w14:textId="77777777" w:rsidR="00F933BD" w:rsidRPr="00242426" w:rsidRDefault="00F933BD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CLASSI TARGET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B22A" w14:textId="77777777" w:rsidR="00F933BD" w:rsidRPr="00242426" w:rsidRDefault="00F933BD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COMPETENZA TRASVERSALE N.1 DEL PTOF- CLASSI TERZE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C18A" w14:textId="77777777" w:rsidR="00F933BD" w:rsidRDefault="00F933BD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COMPETENZA TRASVERSALE N.2</w:t>
            </w:r>
          </w:p>
          <w:p w14:paraId="7AEF7B29" w14:textId="77777777" w:rsidR="00F933BD" w:rsidRPr="00242426" w:rsidRDefault="00F933BD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DEL PTOF – CLASSI TERZE</w:t>
            </w:r>
          </w:p>
        </w:tc>
      </w:tr>
      <w:tr w:rsidR="00F933BD" w:rsidRPr="00242426" w14:paraId="35B6B5BB" w14:textId="77777777" w:rsidTr="00731146">
        <w:tblPrEx>
          <w:jc w:val="left"/>
        </w:tblPrEx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1A63" w14:textId="77777777" w:rsidR="00F933BD" w:rsidRPr="00242426" w:rsidRDefault="00F933BD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4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Classi Terze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2B51" w14:textId="77777777" w:rsidR="00F933BD" w:rsidRPr="00242426" w:rsidRDefault="00F933BD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4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Operare comparazioni e/o collegamenti in campi diversi del sapere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BD15" w14:textId="77777777" w:rsidR="00F933BD" w:rsidRPr="00242426" w:rsidRDefault="00F933BD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4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Produrre sintesi utilizzando diversi registri comunicativi </w:t>
            </w:r>
          </w:p>
        </w:tc>
      </w:tr>
    </w:tbl>
    <w:p w14:paraId="3D669E60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24D6A1BE" w14:textId="77777777" w:rsidR="00F933BD" w:rsidRDefault="00F933BD" w:rsidP="00F933BD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1:</w:t>
      </w:r>
    </w:p>
    <w:p w14:paraId="5907B9D5" w14:textId="77777777" w:rsidR="00F933BD" w:rsidRPr="00F553C3" w:rsidRDefault="00F933BD" w:rsidP="00F933BD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F553C3">
        <w:rPr>
          <w:rFonts w:ascii="Georgia" w:eastAsia="Times New Roman" w:hAnsi="Georgia" w:cs="Times New Roman"/>
          <w:sz w:val="26"/>
          <w:szCs w:val="26"/>
          <w:lang w:eastAsia="it-IT"/>
        </w:rPr>
        <w:t>Lo studente sviluppa strumenti di comunicazione</w:t>
      </w:r>
      <w:r>
        <w:rPr>
          <w:rFonts w:ascii="Georgia" w:eastAsia="Times New Roman" w:hAnsi="Georgia" w:cs="Times New Roman"/>
          <w:sz w:val="26"/>
          <w:szCs w:val="26"/>
          <w:lang w:eastAsia="it-IT"/>
        </w:rPr>
        <w:t xml:space="preserve"> giuridici e acquisisce gli strumenti per cogliere la rilevanza delle norme nella vita personale di ognuno di noi come presidio e salvaguardia della convivenza democratica.</w:t>
      </w:r>
    </w:p>
    <w:p w14:paraId="187108FB" w14:textId="77777777" w:rsidR="00F933BD" w:rsidRPr="00F553C3" w:rsidRDefault="00F933BD" w:rsidP="00F933BD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>Lo studente acquisisce la capacità di comparare e collegare norme a situazioni reali.</w:t>
      </w:r>
    </w:p>
    <w:p w14:paraId="43724E8A" w14:textId="77777777" w:rsidR="00F933BD" w:rsidRPr="00F553C3" w:rsidRDefault="00F933BD" w:rsidP="00F933BD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lastRenderedPageBreak/>
        <w:t xml:space="preserve">Lo studente utilizza conoscenze diverse effettuando collegamenti </w:t>
      </w:r>
      <w:r w:rsidRPr="00F553C3">
        <w:rPr>
          <w:rFonts w:ascii="Georgia" w:eastAsia="Times New Roman" w:hAnsi="Georgia" w:cs="Times New Roman"/>
          <w:sz w:val="26"/>
          <w:szCs w:val="26"/>
          <w:lang w:eastAsia="it-IT"/>
        </w:rPr>
        <w:t>in vista di un</w:t>
      </w:r>
      <w:r>
        <w:rPr>
          <w:rFonts w:ascii="Georgia" w:eastAsia="Times New Roman" w:hAnsi="Georgia" w:cs="Times New Roman"/>
          <w:sz w:val="26"/>
          <w:szCs w:val="26"/>
          <w:lang w:eastAsia="it-IT"/>
        </w:rPr>
        <w:t xml:space="preserve"> progetto di sostenibilità che sia attuabile e concreto.</w:t>
      </w:r>
    </w:p>
    <w:p w14:paraId="133BD74E" w14:textId="77777777" w:rsidR="00F933BD" w:rsidRPr="00A410F8" w:rsidRDefault="00F933BD" w:rsidP="00F933BD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2:</w:t>
      </w:r>
    </w:p>
    <w:p w14:paraId="79BF96A3" w14:textId="77777777" w:rsidR="00F933BD" w:rsidRPr="00DC4627" w:rsidRDefault="00F933BD" w:rsidP="00F933BD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 xml:space="preserve">lo studente impara a declinare in termini concreti alcuni obiettivi di sviluppo dell’Agenda </w:t>
      </w:r>
      <w:proofErr w:type="gramStart"/>
      <w:r>
        <w:rPr>
          <w:rFonts w:ascii="Georgia" w:eastAsia="Times New Roman" w:hAnsi="Georgia" w:cs="Times New Roman"/>
          <w:sz w:val="26"/>
          <w:szCs w:val="26"/>
          <w:lang w:eastAsia="it-IT"/>
        </w:rPr>
        <w:t>2030,  attraverso</w:t>
      </w:r>
      <w:proofErr w:type="gramEnd"/>
      <w:r>
        <w:rPr>
          <w:rFonts w:ascii="Georgia" w:eastAsia="Times New Roman" w:hAnsi="Georgia" w:cs="Times New Roman"/>
          <w:sz w:val="26"/>
          <w:szCs w:val="26"/>
          <w:lang w:eastAsia="it-IT"/>
        </w:rPr>
        <w:t xml:space="preserve"> l’utilizzo di diversi canali e registri comunicativi e mediante l’utilizzo integrato di fonti documentali diverse;</w:t>
      </w:r>
    </w:p>
    <w:p w14:paraId="4602DA1C" w14:textId="77777777" w:rsidR="00F933BD" w:rsidRPr="00540574" w:rsidRDefault="00F933BD" w:rsidP="00F933BD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540574">
        <w:rPr>
          <w:rFonts w:ascii="Georgia" w:eastAsia="Times New Roman" w:hAnsi="Georgia" w:cs="Times New Roman"/>
          <w:sz w:val="26"/>
          <w:szCs w:val="26"/>
          <w:lang w:eastAsia="it-IT"/>
        </w:rPr>
        <w:t xml:space="preserve">lo studente </w:t>
      </w:r>
      <w:r>
        <w:rPr>
          <w:rFonts w:ascii="Georgia" w:eastAsia="Times New Roman" w:hAnsi="Georgia" w:cs="Times New Roman"/>
          <w:sz w:val="26"/>
          <w:szCs w:val="26"/>
          <w:lang w:eastAsia="it-IT"/>
        </w:rPr>
        <w:t>riesce a comprendere la complessità del reale nel passaggio dallo slogan o dal principio ideale alla costruzione di un primo progetto di fattibilità;</w:t>
      </w:r>
    </w:p>
    <w:p w14:paraId="7676376A" w14:textId="77777777" w:rsidR="00F933BD" w:rsidRPr="00540574" w:rsidRDefault="00F933BD" w:rsidP="00F933BD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540574">
        <w:rPr>
          <w:rFonts w:ascii="Georgia" w:eastAsia="Times New Roman" w:hAnsi="Georgia" w:cs="Times New Roman"/>
          <w:sz w:val="26"/>
          <w:szCs w:val="26"/>
          <w:lang w:eastAsia="it-IT"/>
        </w:rPr>
        <w:t>lo studente riesce a concorrere proficuamente nel lavoro di gruppo affinché si pervenga ad un risultato comune, che terrà conto di apporti e competenze diversificate dei componenti in funzione di un obiettivo da raggiungere e di un prodotto da costruire che farà riferimento a diversi campi del sapere</w:t>
      </w:r>
      <w:r>
        <w:rPr>
          <w:rFonts w:ascii="Georgia" w:eastAsia="Times New Roman" w:hAnsi="Georgia" w:cs="Times New Roman"/>
          <w:sz w:val="26"/>
          <w:szCs w:val="26"/>
          <w:lang w:eastAsia="it-IT"/>
        </w:rPr>
        <w:t xml:space="preserve"> e a principi di economicità.</w:t>
      </w:r>
    </w:p>
    <w:p w14:paraId="3038D625" w14:textId="77777777" w:rsidR="00F933BD" w:rsidRPr="00A410F8" w:rsidRDefault="00F933BD" w:rsidP="00F933BD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3</w:t>
      </w:r>
    </w:p>
    <w:p w14:paraId="0F7C0E01" w14:textId="77777777" w:rsidR="00F933BD" w:rsidRDefault="00F933BD" w:rsidP="00F933BD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Lo studente comprende tutte le potenzialità del mondo digitale in vista della promozione di scelte positive per il futuro della nazione e del mondo.</w:t>
      </w:r>
    </w:p>
    <w:p w14:paraId="2531F78F" w14:textId="77777777" w:rsidR="00F933BD" w:rsidRDefault="00F933BD" w:rsidP="00F933BD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Lo studente comprende che gli strumenti comunicativi digitali devono essere gestiti </w:t>
      </w:r>
      <w:r w:rsidRPr="00D664D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 competenza e coerenza rispetto al sistema integrato di valori che regolano la vita democratica.</w:t>
      </w:r>
    </w:p>
    <w:p w14:paraId="08F2EF76" w14:textId="77777777" w:rsidR="00F933BD" w:rsidRPr="00D664DE" w:rsidRDefault="00F933BD" w:rsidP="00F933BD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Lo studente riesce a cogliere che la trasformazione di un’azienda o impresa in funzione di sostenibilità può comportare un costo di investimento iniziale e richiede una campagna comunicativa volta a mostrare agli stakeholders e ai clienti il vantaggio ecologico o sociale conseguito.</w:t>
      </w:r>
    </w:p>
    <w:p w14:paraId="6AD9326B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297027B0" w14:textId="77777777" w:rsidR="00F933BD" w:rsidRDefault="00F933BD" w:rsidP="00F933BD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 w:rsidRPr="009E14C6"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Coinvolgimento degli studenti nell’ambito della cittadinanza attiva</w:t>
      </w:r>
    </w:p>
    <w:p w14:paraId="4EAF454E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Attraverso la compilazione del questionario, gli studenti hanno esercitato una propria autoanalisi circa l’impegno concreto agito da ognuno, in prima </w:t>
      </w:r>
      <w:proofErr w:type="gram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persona,  nel</w:t>
      </w:r>
      <w:proofErr w:type="gram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campo della sostenibilità.</w:t>
      </w:r>
    </w:p>
    <w:p w14:paraId="3502AE48" w14:textId="77777777" w:rsidR="00F933BD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Durante il percorso del modulo B, gli studenti hanno appreso la differenza tra idea/ideale e la sua trasformazione in un progetto concreto, che passa attraverso un piano di fattibilità.</w:t>
      </w:r>
    </w:p>
    <w:p w14:paraId="42E4DE0B" w14:textId="77777777" w:rsidR="00F933BD" w:rsidRPr="00D954E0" w:rsidRDefault="00F933BD" w:rsidP="00F933BD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Infine gli studenti e</w:t>
      </w:r>
      <w:r w:rsidRPr="00D954E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rcitano</w:t>
      </w:r>
      <w:r w:rsidRPr="00D954E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in prima persona la partecipazione attiva alla vita studentesca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ed alla vita della propria città, </w:t>
      </w:r>
      <w:r w:rsidRPr="00D954E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acquisendo conoscenze e procedure per poterlo fare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 facendosi promotori di una campagna di sostenibilità effettiva promossa dal Liceo Vittorini.</w:t>
      </w:r>
    </w:p>
    <w:p w14:paraId="34D72A6D" w14:textId="7A50570C" w:rsidR="000E3F2F" w:rsidRDefault="000E3F2F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bookmarkStart w:id="0" w:name="_Hlk64217056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br w:type="page"/>
      </w:r>
    </w:p>
    <w:p w14:paraId="77284DB5" w14:textId="77777777" w:rsidR="000E3F2F" w:rsidRDefault="000E3F2F" w:rsidP="000E3F2F">
      <w:pPr>
        <w:pStyle w:val="Paragrafoelenc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3D836107" w14:textId="77777777" w:rsidR="000E3F2F" w:rsidRDefault="000E3F2F" w:rsidP="000E3F2F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 w:rsidRPr="00C635BE"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Valutazione</w:t>
      </w:r>
    </w:p>
    <w:p w14:paraId="742E23AE" w14:textId="77777777" w:rsidR="000E3F2F" w:rsidRDefault="000E3F2F" w:rsidP="000E3F2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La Legge dispone che l'insegnamento trasversale dell'Educazione civica sia oggetto delle valutazioni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periodiche e finali previste dal D. dal DPR 22 giugno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2009, n. 122 per il secondo ciclo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 ai sensi delle disposizioni normative vigenti il Collegio Docenti ha definito un’organizzazione modulare della disciplina trasversale, con valutazione nel solo secondo periodo valutativo.</w:t>
      </w:r>
    </w:p>
    <w:p w14:paraId="291BB7C2" w14:textId="77777777" w:rsidR="000E3F2F" w:rsidRPr="004F0E80" w:rsidRDefault="000E3F2F" w:rsidP="000E3F2F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La valutazione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è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coerente con le competenze, abilità e conoscenze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sopra esposte e riassunte nel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“curricolo di istituto di Educazione Civica</w:t>
      </w:r>
      <w:proofErr w:type="gram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”,  per</w:t>
      </w:r>
      <w:proofErr w:type="gram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la verifica delle quali i docenti si sono avvalsi di strumenti condivisi, approvati dal Collegio Docenti  e coerenti con la valutazione delle altre discipline curricolari (come la fruizione di test su piattaforma </w:t>
      </w:r>
      <w:proofErr w:type="spell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Moodle</w:t>
      </w:r>
      <w:proofErr w:type="spell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Elionet</w:t>
      </w:r>
      <w:proofErr w:type="spell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, relazioni, lavori di gruppo, griglie di osservazione e rubriche valutative). Tali strumenti, applicati ai percorsi interdisciplinari, sono finalizzati a rendere </w:t>
      </w:r>
      <w:r w:rsidRPr="00316CD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conto del conseguimento da parte degli alunni delle conoscenze e abilità e del progressivo sviluppo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16CD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delle competenze previste nella sezione del curricolo dedicata all’educazione civica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ma anche a coinvolgere gli stessi studenti, in prima persona, in merito all’interiorizzazione delle tematiche affrontate. I</w:t>
      </w:r>
      <w:r w:rsidRPr="0075547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 voto di educazione civica concorre all’ammissione alla classe successiva</w:t>
      </w:r>
      <w:r w:rsidRPr="00C72F8F">
        <w:t xml:space="preserve"> </w:t>
      </w:r>
      <w:r w:rsidRPr="00C72F8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 alla media in vista dell’attribuzione del credito.</w:t>
      </w:r>
    </w:p>
    <w:bookmarkEnd w:id="0"/>
    <w:p w14:paraId="27655689" w14:textId="77777777" w:rsidR="000E3F2F" w:rsidRDefault="000E3F2F" w:rsidP="000E3F2F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br w:type="page"/>
      </w:r>
    </w:p>
    <w:p w14:paraId="0A3311B3" w14:textId="77777777" w:rsidR="00361A52" w:rsidRDefault="00361A52"/>
    <w:sectPr w:rsidR="00361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4AB3"/>
    <w:multiLevelType w:val="hybridMultilevel"/>
    <w:tmpl w:val="A13E3C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40A5"/>
    <w:multiLevelType w:val="hybridMultilevel"/>
    <w:tmpl w:val="F2F8DE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30437"/>
    <w:multiLevelType w:val="hybridMultilevel"/>
    <w:tmpl w:val="5D9C9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15BE"/>
    <w:multiLevelType w:val="hybridMultilevel"/>
    <w:tmpl w:val="119C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33058"/>
    <w:multiLevelType w:val="hybridMultilevel"/>
    <w:tmpl w:val="9A5A0676"/>
    <w:lvl w:ilvl="0" w:tplc="47727356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D"/>
    <w:rsid w:val="000E3F2F"/>
    <w:rsid w:val="00361A52"/>
    <w:rsid w:val="00F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3F20"/>
  <w15:chartTrackingRefBased/>
  <w15:docId w15:val="{E9FD0261-7BA5-4811-8771-F48B9174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3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Albalisa Azzariti</cp:lastModifiedBy>
  <cp:revision>2</cp:revision>
  <dcterms:created xsi:type="dcterms:W3CDTF">2021-05-07T17:04:00Z</dcterms:created>
  <dcterms:modified xsi:type="dcterms:W3CDTF">2021-05-07T17:05:00Z</dcterms:modified>
</cp:coreProperties>
</file>